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70" w:rsidRPr="00B0371C" w:rsidRDefault="00B0371C">
      <w:pPr>
        <w:rPr>
          <w:b/>
          <w:sz w:val="52"/>
          <w:szCs w:val="52"/>
        </w:rPr>
      </w:pPr>
      <w:bookmarkStart w:id="0" w:name="_GoBack"/>
      <w:bookmarkEnd w:id="0"/>
      <w:r w:rsidRPr="00B0371C">
        <w:rPr>
          <w:b/>
          <w:sz w:val="52"/>
          <w:szCs w:val="52"/>
        </w:rPr>
        <w:t xml:space="preserve">Protective Life Bulletin </w:t>
      </w:r>
    </w:p>
    <w:p w:rsidR="00B0371C" w:rsidRDefault="00B0371C"/>
    <w:tbl>
      <w:tblPr>
        <w:tblW w:w="5000" w:type="pct"/>
        <w:jc w:val="center"/>
        <w:tblCellMar>
          <w:left w:w="0" w:type="dxa"/>
          <w:right w:w="0" w:type="dxa"/>
        </w:tblCellMar>
        <w:tblLook w:val="04A0" w:firstRow="1" w:lastRow="0" w:firstColumn="1" w:lastColumn="0" w:noHBand="0" w:noVBand="1"/>
      </w:tblPr>
      <w:tblGrid>
        <w:gridCol w:w="9360"/>
      </w:tblGrid>
      <w:tr w:rsidR="00B0371C" w:rsidTr="00B0371C">
        <w:trPr>
          <w:jc w:val="center"/>
        </w:trPr>
        <w:tc>
          <w:tcPr>
            <w:tcW w:w="0" w:type="auto"/>
            <w:shd w:val="clear" w:color="auto" w:fill="FFFFFF"/>
            <w:tcMar>
              <w:top w:w="450" w:type="dxa"/>
              <w:left w:w="525" w:type="dxa"/>
              <w:bottom w:w="75" w:type="dxa"/>
              <w:right w:w="525" w:type="dxa"/>
            </w:tcMar>
            <w:vAlign w:val="center"/>
            <w:hideMark/>
          </w:tcPr>
          <w:p w:rsidR="00B0371C" w:rsidRDefault="00B0371C">
            <w:pPr>
              <w:pStyle w:val="Heading1"/>
              <w:spacing w:before="0" w:beforeAutospacing="0" w:after="225" w:afterAutospacing="0" w:line="510" w:lineRule="exact"/>
              <w:rPr>
                <w:rFonts w:ascii="Arial" w:eastAsia="Times New Roman" w:hAnsi="Arial" w:cs="Arial"/>
                <w:b w:val="0"/>
                <w:bCs w:val="0"/>
                <w:color w:val="00A9E0"/>
                <w:sz w:val="39"/>
                <w:szCs w:val="39"/>
              </w:rPr>
            </w:pPr>
            <w:r>
              <w:rPr>
                <w:rFonts w:ascii="Arial" w:eastAsia="Times New Roman" w:hAnsi="Arial" w:cs="Arial"/>
                <w:b w:val="0"/>
                <w:bCs w:val="0"/>
                <w:color w:val="00A9E0"/>
                <w:sz w:val="39"/>
                <w:szCs w:val="39"/>
              </w:rPr>
              <w:t>Temporary Changes to Life Insurance Underwriting Guidelines</w:t>
            </w:r>
          </w:p>
          <w:p w:rsidR="00B0371C" w:rsidRDefault="00B0371C">
            <w:pPr>
              <w:pStyle w:val="NormalWeb"/>
              <w:spacing w:before="0" w:beforeAutospacing="0" w:after="225" w:afterAutospacing="0" w:line="390" w:lineRule="exact"/>
              <w:rPr>
                <w:rFonts w:ascii="Arial" w:hAnsi="Arial" w:cs="Arial"/>
              </w:rPr>
            </w:pPr>
            <w:r>
              <w:rPr>
                <w:rFonts w:ascii="Arial" w:hAnsi="Arial" w:cs="Arial"/>
              </w:rPr>
              <w:t>Due to the ongoing spread of COVID-19, we are implementing the following temporary changes to our life insurance underwriting guidelines effective April 15, 2020. Note that these temporary changes apply to fully underwritten applications and do not apply to applicants who are approved for instant issue of simplified issue life insurance, including single payment whole life or Executive Benefit life products approved on a guaranteed issue basis.</w:t>
            </w:r>
          </w:p>
          <w:p w:rsidR="00B0371C" w:rsidRDefault="00B0371C">
            <w:pPr>
              <w:pStyle w:val="NormalWeb"/>
              <w:spacing w:before="0" w:beforeAutospacing="0" w:after="225" w:afterAutospacing="0" w:line="390" w:lineRule="exact"/>
              <w:rPr>
                <w:rFonts w:ascii="Arial" w:hAnsi="Arial" w:cs="Arial"/>
                <w:b/>
                <w:bCs/>
                <w:color w:val="004B87"/>
              </w:rPr>
            </w:pPr>
            <w:r>
              <w:rPr>
                <w:rFonts w:ascii="Arial" w:hAnsi="Arial" w:cs="Arial"/>
                <w:b/>
                <w:bCs/>
                <w:color w:val="004B87"/>
              </w:rPr>
              <w:t>Age and rating limitations:</w:t>
            </w:r>
          </w:p>
          <w:p w:rsidR="00B0371C" w:rsidRDefault="00B0371C" w:rsidP="00DA41F8">
            <w:pPr>
              <w:pStyle w:val="NormalWeb"/>
              <w:numPr>
                <w:ilvl w:val="0"/>
                <w:numId w:val="1"/>
              </w:numPr>
              <w:spacing w:before="0" w:beforeAutospacing="0" w:after="150" w:afterAutospacing="0" w:line="390" w:lineRule="exact"/>
              <w:ind w:left="450"/>
              <w:rPr>
                <w:rFonts w:ascii="Arial" w:hAnsi="Arial" w:cs="Arial"/>
              </w:rPr>
            </w:pPr>
            <w:r>
              <w:rPr>
                <w:rFonts w:ascii="Arial" w:hAnsi="Arial" w:cs="Arial"/>
              </w:rPr>
              <w:t>We will postpone coverage on individuals who are age 80 and above.</w:t>
            </w:r>
          </w:p>
          <w:p w:rsidR="00B0371C" w:rsidRDefault="00B0371C" w:rsidP="00DA41F8">
            <w:pPr>
              <w:pStyle w:val="NormalWeb"/>
              <w:numPr>
                <w:ilvl w:val="0"/>
                <w:numId w:val="1"/>
              </w:numPr>
              <w:spacing w:before="0" w:beforeAutospacing="0" w:after="150" w:afterAutospacing="0" w:line="390" w:lineRule="exact"/>
              <w:ind w:left="450"/>
              <w:rPr>
                <w:rFonts w:ascii="Arial" w:hAnsi="Arial" w:cs="Arial"/>
              </w:rPr>
            </w:pPr>
            <w:r>
              <w:rPr>
                <w:rFonts w:ascii="Arial" w:hAnsi="Arial" w:cs="Arial"/>
              </w:rPr>
              <w:t xml:space="preserve">Ages 70 – 79: Applicants must qualify for Standard rating or better </w:t>
            </w:r>
            <w:r>
              <w:rPr>
                <w:rFonts w:ascii="Arial" w:hAnsi="Arial" w:cs="Arial"/>
                <w:u w:val="single"/>
              </w:rPr>
              <w:t>and</w:t>
            </w:r>
            <w:r>
              <w:rPr>
                <w:rFonts w:ascii="Arial" w:hAnsi="Arial" w:cs="Arial"/>
              </w:rPr>
              <w:t xml:space="preserve"> have no significant underlying medical condition or treatment that makes them more susceptible to COVID-19 death.*</w:t>
            </w:r>
          </w:p>
          <w:p w:rsidR="00B0371C" w:rsidRDefault="00B0371C" w:rsidP="00DA41F8">
            <w:pPr>
              <w:pStyle w:val="NormalWeb"/>
              <w:numPr>
                <w:ilvl w:val="0"/>
                <w:numId w:val="1"/>
              </w:numPr>
              <w:spacing w:before="0" w:beforeAutospacing="0" w:after="150" w:afterAutospacing="0" w:line="390" w:lineRule="exact"/>
              <w:ind w:left="450"/>
              <w:rPr>
                <w:rFonts w:ascii="Arial" w:hAnsi="Arial" w:cs="Arial"/>
              </w:rPr>
            </w:pPr>
            <w:r>
              <w:rPr>
                <w:rFonts w:ascii="Arial" w:hAnsi="Arial" w:cs="Arial"/>
              </w:rPr>
              <w:t xml:space="preserve">Ages 60 – 69: Applicants must qualify for Table 4 rating or better </w:t>
            </w:r>
            <w:r>
              <w:rPr>
                <w:rFonts w:ascii="Arial" w:hAnsi="Arial" w:cs="Arial"/>
                <w:u w:val="single"/>
              </w:rPr>
              <w:t>and</w:t>
            </w:r>
            <w:r>
              <w:rPr>
                <w:rFonts w:ascii="Arial" w:hAnsi="Arial" w:cs="Arial"/>
              </w:rPr>
              <w:t xml:space="preserve"> have no significant underlying medical condition or treatment that makes them more susceptible to COVID-19 death.*</w:t>
            </w:r>
          </w:p>
          <w:p w:rsidR="00B0371C" w:rsidRDefault="00B0371C" w:rsidP="00DA41F8">
            <w:pPr>
              <w:pStyle w:val="NormalWeb"/>
              <w:numPr>
                <w:ilvl w:val="0"/>
                <w:numId w:val="1"/>
              </w:numPr>
              <w:spacing w:before="0" w:beforeAutospacing="0" w:after="225" w:afterAutospacing="0" w:line="390" w:lineRule="exact"/>
              <w:ind w:left="450"/>
              <w:rPr>
                <w:rFonts w:ascii="Arial" w:hAnsi="Arial" w:cs="Arial"/>
              </w:rPr>
            </w:pPr>
            <w:r>
              <w:rPr>
                <w:rFonts w:ascii="Arial" w:hAnsi="Arial" w:cs="Arial"/>
              </w:rPr>
              <w:t>Ages 0 – 59: Protective will consider applicants with all medical impairments through Table 4. Applicants rated over Table 4 will be considered on a case-by-case basis if the individual has no significant underlying medical condition or treatment that makes him or her more susceptible to COVID-19 death.*</w:t>
            </w:r>
          </w:p>
          <w:p w:rsidR="00B0371C" w:rsidRDefault="00B0371C">
            <w:pPr>
              <w:pStyle w:val="NormalWeb"/>
              <w:spacing w:before="0" w:beforeAutospacing="0" w:after="225" w:afterAutospacing="0" w:line="390" w:lineRule="exact"/>
              <w:rPr>
                <w:rFonts w:ascii="Arial" w:hAnsi="Arial" w:cs="Arial"/>
              </w:rPr>
            </w:pPr>
          </w:p>
          <w:p w:rsidR="00B0371C" w:rsidRDefault="00B0371C">
            <w:pPr>
              <w:pStyle w:val="NormalWeb"/>
              <w:spacing w:before="0" w:beforeAutospacing="0" w:after="225" w:afterAutospacing="0" w:line="390" w:lineRule="exact"/>
              <w:rPr>
                <w:rFonts w:ascii="Arial" w:hAnsi="Arial" w:cs="Arial"/>
              </w:rPr>
            </w:pPr>
          </w:p>
          <w:p w:rsidR="00B0371C" w:rsidRDefault="00B0371C">
            <w:pPr>
              <w:pStyle w:val="NormalWeb"/>
              <w:spacing w:before="0" w:beforeAutospacing="0" w:after="225" w:afterAutospacing="0" w:line="390" w:lineRule="exact"/>
              <w:rPr>
                <w:rFonts w:ascii="Arial" w:hAnsi="Arial" w:cs="Arial"/>
              </w:rPr>
            </w:pPr>
            <w:r>
              <w:rPr>
                <w:rFonts w:ascii="Arial" w:hAnsi="Arial" w:cs="Arial"/>
              </w:rPr>
              <w:lastRenderedPageBreak/>
              <w:t>*The medical conditions and treatments referred to above include, but are not limited to:</w:t>
            </w:r>
          </w:p>
          <w:p w:rsidR="00B0371C" w:rsidRDefault="00B0371C" w:rsidP="00DA41F8">
            <w:pPr>
              <w:pStyle w:val="NormalWeb"/>
              <w:numPr>
                <w:ilvl w:val="0"/>
                <w:numId w:val="2"/>
              </w:numPr>
              <w:spacing w:before="0" w:beforeAutospacing="0" w:after="150" w:afterAutospacing="0" w:line="390" w:lineRule="exact"/>
              <w:ind w:left="450"/>
              <w:rPr>
                <w:rFonts w:ascii="Arial" w:hAnsi="Arial" w:cs="Arial"/>
              </w:rPr>
            </w:pPr>
            <w:r>
              <w:rPr>
                <w:rFonts w:ascii="Arial" w:hAnsi="Arial" w:cs="Arial"/>
              </w:rPr>
              <w:t>Heart disease</w:t>
            </w:r>
          </w:p>
          <w:p w:rsidR="00B0371C" w:rsidRDefault="00B0371C" w:rsidP="00DA41F8">
            <w:pPr>
              <w:pStyle w:val="NormalWeb"/>
              <w:numPr>
                <w:ilvl w:val="0"/>
                <w:numId w:val="2"/>
              </w:numPr>
              <w:spacing w:before="0" w:beforeAutospacing="0" w:after="150" w:afterAutospacing="0" w:line="390" w:lineRule="exact"/>
              <w:ind w:left="450"/>
              <w:rPr>
                <w:rFonts w:ascii="Arial" w:hAnsi="Arial" w:cs="Arial"/>
              </w:rPr>
            </w:pPr>
            <w:r>
              <w:rPr>
                <w:rFonts w:ascii="Arial" w:hAnsi="Arial" w:cs="Arial"/>
              </w:rPr>
              <w:t>Significant cancer in the last 10 years</w:t>
            </w:r>
          </w:p>
          <w:p w:rsidR="00B0371C" w:rsidRDefault="00B0371C" w:rsidP="00DA41F8">
            <w:pPr>
              <w:pStyle w:val="NormalWeb"/>
              <w:numPr>
                <w:ilvl w:val="0"/>
                <w:numId w:val="2"/>
              </w:numPr>
              <w:spacing w:before="0" w:beforeAutospacing="0" w:after="150" w:afterAutospacing="0" w:line="390" w:lineRule="exact"/>
              <w:ind w:left="450"/>
              <w:rPr>
                <w:rFonts w:ascii="Arial" w:hAnsi="Arial" w:cs="Arial"/>
              </w:rPr>
            </w:pPr>
            <w:r>
              <w:rPr>
                <w:rFonts w:ascii="Arial" w:hAnsi="Arial" w:cs="Arial"/>
              </w:rPr>
              <w:t>Diabetes</w:t>
            </w:r>
          </w:p>
          <w:p w:rsidR="00B0371C" w:rsidRDefault="00B0371C" w:rsidP="00DA41F8">
            <w:pPr>
              <w:pStyle w:val="NormalWeb"/>
              <w:numPr>
                <w:ilvl w:val="0"/>
                <w:numId w:val="2"/>
              </w:numPr>
              <w:spacing w:before="0" w:beforeAutospacing="0" w:after="150" w:afterAutospacing="0" w:line="390" w:lineRule="exact"/>
              <w:ind w:left="450"/>
              <w:rPr>
                <w:rFonts w:ascii="Arial" w:hAnsi="Arial" w:cs="Arial"/>
              </w:rPr>
            </w:pPr>
            <w:r>
              <w:rPr>
                <w:rFonts w:ascii="Arial" w:hAnsi="Arial" w:cs="Arial"/>
              </w:rPr>
              <w:t>Pulmonary disease (COPD, Asthma, etc.)</w:t>
            </w:r>
          </w:p>
          <w:p w:rsidR="00B0371C" w:rsidRDefault="00B0371C" w:rsidP="00DA41F8">
            <w:pPr>
              <w:pStyle w:val="NormalWeb"/>
              <w:numPr>
                <w:ilvl w:val="0"/>
                <w:numId w:val="2"/>
              </w:numPr>
              <w:spacing w:before="0" w:beforeAutospacing="0" w:after="150" w:afterAutospacing="0" w:line="390" w:lineRule="exact"/>
              <w:ind w:left="450"/>
              <w:rPr>
                <w:rFonts w:ascii="Arial" w:hAnsi="Arial" w:cs="Arial"/>
              </w:rPr>
            </w:pPr>
            <w:r>
              <w:rPr>
                <w:rFonts w:ascii="Arial" w:hAnsi="Arial" w:cs="Arial"/>
              </w:rPr>
              <w:t>Autoimmune or Immunosuppressive Disease</w:t>
            </w:r>
          </w:p>
          <w:p w:rsidR="00B0371C" w:rsidRDefault="00B0371C" w:rsidP="00DA41F8">
            <w:pPr>
              <w:pStyle w:val="NormalWeb"/>
              <w:numPr>
                <w:ilvl w:val="0"/>
                <w:numId w:val="2"/>
              </w:numPr>
              <w:spacing w:before="0" w:beforeAutospacing="0" w:after="225" w:afterAutospacing="0" w:line="390" w:lineRule="exact"/>
              <w:ind w:left="450"/>
              <w:rPr>
                <w:rFonts w:ascii="Arial" w:hAnsi="Arial" w:cs="Arial"/>
              </w:rPr>
            </w:pPr>
            <w:r>
              <w:rPr>
                <w:rFonts w:ascii="Arial" w:hAnsi="Arial" w:cs="Arial"/>
              </w:rPr>
              <w:t>Any medication that causes immunosuppression (Biologic, Prednisone/Steroid, Methotrexate, etc.)</w:t>
            </w:r>
          </w:p>
          <w:p w:rsidR="00B0371C" w:rsidRDefault="00B0371C">
            <w:pPr>
              <w:pStyle w:val="NormalWeb"/>
              <w:spacing w:before="0" w:beforeAutospacing="0" w:after="225" w:afterAutospacing="0" w:line="390" w:lineRule="exact"/>
              <w:rPr>
                <w:rFonts w:ascii="Arial" w:hAnsi="Arial" w:cs="Arial"/>
              </w:rPr>
            </w:pPr>
            <w:r>
              <w:rPr>
                <w:rFonts w:ascii="Arial" w:hAnsi="Arial" w:cs="Arial"/>
              </w:rPr>
              <w:t>These temporary changes apply to all new or pending cases with no final underwriting offer or outstanding underwriting requirements. They do not apply to issued or approved cases that are awaiting policy issue requirements, including a Statement of Health.</w:t>
            </w:r>
          </w:p>
          <w:p w:rsidR="00B0371C" w:rsidRDefault="00B0371C">
            <w:pPr>
              <w:pStyle w:val="NormalWeb"/>
              <w:spacing w:before="0" w:beforeAutospacing="0" w:after="75" w:afterAutospacing="0" w:line="390" w:lineRule="exact"/>
              <w:rPr>
                <w:rFonts w:ascii="Arial" w:hAnsi="Arial" w:cs="Arial"/>
                <w:b/>
                <w:bCs/>
                <w:color w:val="004B87"/>
              </w:rPr>
            </w:pPr>
            <w:r>
              <w:rPr>
                <w:rFonts w:ascii="Arial" w:hAnsi="Arial" w:cs="Arial"/>
                <w:b/>
                <w:bCs/>
                <w:color w:val="004B87"/>
              </w:rPr>
              <w:t>Statement of Health:</w:t>
            </w:r>
          </w:p>
          <w:p w:rsidR="00B0371C" w:rsidRDefault="00B0371C">
            <w:pPr>
              <w:pStyle w:val="NormalWeb"/>
              <w:spacing w:before="0" w:beforeAutospacing="0" w:after="225" w:afterAutospacing="0" w:line="390" w:lineRule="exact"/>
              <w:rPr>
                <w:rFonts w:ascii="Arial" w:hAnsi="Arial" w:cs="Arial"/>
              </w:rPr>
            </w:pPr>
            <w:r>
              <w:rPr>
                <w:rFonts w:ascii="Arial" w:hAnsi="Arial" w:cs="Arial"/>
              </w:rPr>
              <w:t>All fully underwritten coverage approved on any applicant, regardless of age or face amount, will require a Statement of Health to be signed on delivery. This includes applicants who are not approved for instant issue of simplified issue life insurance or single payment whole life.</w:t>
            </w:r>
          </w:p>
          <w:p w:rsidR="00B0371C" w:rsidRDefault="00B0371C">
            <w:pPr>
              <w:pStyle w:val="NormalWeb"/>
              <w:spacing w:before="0" w:beforeAutospacing="0" w:after="225" w:afterAutospacing="0" w:line="390" w:lineRule="exact"/>
              <w:rPr>
                <w:rFonts w:ascii="Arial" w:hAnsi="Arial" w:cs="Arial"/>
              </w:rPr>
            </w:pPr>
            <w:r>
              <w:rPr>
                <w:rFonts w:ascii="Arial" w:hAnsi="Arial" w:cs="Arial"/>
              </w:rPr>
              <w:t xml:space="preserve">Please contact your Protective Life representative with any questions. </w:t>
            </w:r>
          </w:p>
        </w:tc>
      </w:tr>
      <w:tr w:rsidR="00B0371C" w:rsidTr="00B0371C">
        <w:trPr>
          <w:jc w:val="center"/>
        </w:trPr>
        <w:tc>
          <w:tcPr>
            <w:tcW w:w="0" w:type="auto"/>
            <w:shd w:val="clear" w:color="auto" w:fill="FFFFFF"/>
            <w:tcMar>
              <w:top w:w="150" w:type="dxa"/>
              <w:left w:w="525" w:type="dxa"/>
              <w:bottom w:w="225" w:type="dxa"/>
              <w:right w:w="525" w:type="dxa"/>
            </w:tcMar>
            <w:hideMark/>
          </w:tcPr>
          <w:tbl>
            <w:tblPr>
              <w:tblW w:w="5000" w:type="pct"/>
              <w:jc w:val="center"/>
              <w:tblCellMar>
                <w:left w:w="0" w:type="dxa"/>
                <w:right w:w="0" w:type="dxa"/>
              </w:tblCellMar>
              <w:tblLook w:val="04A0" w:firstRow="1" w:lastRow="0" w:firstColumn="1" w:lastColumn="0" w:noHBand="0" w:noVBand="1"/>
            </w:tblPr>
            <w:tblGrid>
              <w:gridCol w:w="8310"/>
            </w:tblGrid>
            <w:tr w:rsidR="00B0371C">
              <w:trPr>
                <w:jc w:val="center"/>
              </w:trPr>
              <w:tc>
                <w:tcPr>
                  <w:tcW w:w="0" w:type="auto"/>
                  <w:tcBorders>
                    <w:top w:val="single" w:sz="18" w:space="0" w:color="00A9E0"/>
                    <w:left w:val="nil"/>
                    <w:bottom w:val="nil"/>
                    <w:right w:val="nil"/>
                  </w:tcBorders>
                  <w:tcMar>
                    <w:top w:w="450" w:type="dxa"/>
                    <w:left w:w="0" w:type="dxa"/>
                    <w:bottom w:w="0" w:type="dxa"/>
                    <w:right w:w="0" w:type="dxa"/>
                  </w:tcMar>
                  <w:hideMark/>
                </w:tcPr>
                <w:p w:rsidR="00B0371C" w:rsidRDefault="00B0371C">
                  <w:pPr>
                    <w:pStyle w:val="NormalWeb"/>
                    <w:spacing w:before="0" w:beforeAutospacing="0" w:after="0" w:afterAutospacing="0" w:line="420" w:lineRule="exact"/>
                    <w:jc w:val="center"/>
                    <w:rPr>
                      <w:rFonts w:ascii="Arial" w:hAnsi="Arial" w:cs="Arial"/>
                      <w:b/>
                      <w:bCs/>
                      <w:sz w:val="26"/>
                      <w:szCs w:val="26"/>
                    </w:rPr>
                  </w:pPr>
                  <w:r>
                    <w:rPr>
                      <w:rFonts w:ascii="Arial" w:hAnsi="Arial" w:cs="Arial"/>
                      <w:b/>
                      <w:bCs/>
                      <w:sz w:val="26"/>
                      <w:szCs w:val="26"/>
                    </w:rPr>
                    <w:lastRenderedPageBreak/>
                    <w:t>Let’s deliver on our promises. Together.</w:t>
                  </w:r>
                </w:p>
              </w:tc>
            </w:tr>
          </w:tbl>
          <w:p w:rsidR="00B0371C" w:rsidRDefault="00B0371C">
            <w:pPr>
              <w:jc w:val="center"/>
              <w:rPr>
                <w:rFonts w:ascii="Times New Roman" w:eastAsia="Times New Roman" w:hAnsi="Times New Roman" w:cs="Times New Roman"/>
                <w:color w:val="auto"/>
                <w:sz w:val="20"/>
                <w:szCs w:val="20"/>
              </w:rPr>
            </w:pPr>
          </w:p>
        </w:tc>
      </w:tr>
      <w:tr w:rsidR="00B0371C" w:rsidTr="00B0371C">
        <w:trPr>
          <w:jc w:val="center"/>
        </w:trPr>
        <w:tc>
          <w:tcPr>
            <w:tcW w:w="0" w:type="auto"/>
            <w:shd w:val="clear" w:color="auto" w:fill="FFFFFF"/>
            <w:tcMar>
              <w:top w:w="225" w:type="dxa"/>
              <w:left w:w="0" w:type="dxa"/>
              <w:bottom w:w="52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2250"/>
            </w:tblGrid>
            <w:tr w:rsidR="00B0371C">
              <w:trPr>
                <w:jc w:val="center"/>
              </w:trPr>
              <w:tc>
                <w:tcPr>
                  <w:tcW w:w="0" w:type="auto"/>
                  <w:vAlign w:val="center"/>
                  <w:hideMark/>
                </w:tcPr>
                <w:p w:rsidR="00B0371C" w:rsidRDefault="00B0371C">
                  <w:pPr>
                    <w:jc w:val="center"/>
                  </w:pPr>
                  <w:r>
                    <w:rPr>
                      <w:noProof/>
                    </w:rPr>
                    <w:drawing>
                      <wp:inline distT="0" distB="0" distL="0" distR="0">
                        <wp:extent cx="1428750" cy="476250"/>
                        <wp:effectExtent l="0" t="0" r="0" b="0"/>
                        <wp:docPr id="1" name="Picture 1" descr="Protective Life Insurance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ctive Life Insurance Compa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p>
              </w:tc>
            </w:tr>
          </w:tbl>
          <w:p w:rsidR="00B0371C" w:rsidRDefault="00B0371C">
            <w:pPr>
              <w:jc w:val="center"/>
              <w:rPr>
                <w:rFonts w:ascii="Times New Roman" w:eastAsia="Times New Roman" w:hAnsi="Times New Roman" w:cs="Times New Roman"/>
                <w:color w:val="auto"/>
                <w:sz w:val="20"/>
                <w:szCs w:val="20"/>
              </w:rPr>
            </w:pPr>
          </w:p>
        </w:tc>
      </w:tr>
      <w:tr w:rsidR="00B0371C" w:rsidTr="00B0371C">
        <w:trPr>
          <w:jc w:val="center"/>
        </w:trPr>
        <w:tc>
          <w:tcPr>
            <w:tcW w:w="0" w:type="auto"/>
            <w:tcMar>
              <w:top w:w="375" w:type="dxa"/>
              <w:left w:w="225" w:type="dxa"/>
              <w:bottom w:w="375" w:type="dxa"/>
              <w:right w:w="225" w:type="dxa"/>
            </w:tcMar>
            <w:hideMark/>
          </w:tcPr>
          <w:p w:rsidR="00B0371C" w:rsidRDefault="00B0371C">
            <w:pPr>
              <w:spacing w:after="225" w:line="210" w:lineRule="exact"/>
              <w:rPr>
                <w:rFonts w:ascii="Verdana" w:hAnsi="Verdana"/>
                <w:sz w:val="15"/>
                <w:szCs w:val="15"/>
              </w:rPr>
            </w:pPr>
            <w:r>
              <w:rPr>
                <w:rFonts w:ascii="Verdana" w:hAnsi="Verdana"/>
                <w:sz w:val="15"/>
                <w:szCs w:val="15"/>
              </w:rPr>
              <w:lastRenderedPageBreak/>
              <w:t>INT.1664327 (04.20)</w:t>
            </w:r>
          </w:p>
          <w:p w:rsidR="00B0371C" w:rsidRDefault="00B0371C">
            <w:pPr>
              <w:spacing w:after="225" w:line="210" w:lineRule="exact"/>
              <w:rPr>
                <w:rFonts w:ascii="Verdana" w:hAnsi="Verdana"/>
                <w:sz w:val="15"/>
                <w:szCs w:val="15"/>
              </w:rPr>
            </w:pPr>
            <w:r>
              <w:rPr>
                <w:rFonts w:ascii="Verdana" w:hAnsi="Verdana"/>
                <w:sz w:val="15"/>
                <w:szCs w:val="15"/>
              </w:rPr>
              <w:t>For Financial Professional Use Only. Not for Use With Consumers.</w:t>
            </w:r>
          </w:p>
          <w:p w:rsidR="00B0371C" w:rsidRDefault="00B0371C">
            <w:pPr>
              <w:spacing w:after="225" w:line="210" w:lineRule="exact"/>
              <w:rPr>
                <w:rFonts w:ascii="Verdana" w:hAnsi="Verdana"/>
                <w:sz w:val="15"/>
                <w:szCs w:val="15"/>
              </w:rPr>
            </w:pPr>
            <w:r>
              <w:rPr>
                <w:rFonts w:ascii="Verdana" w:hAnsi="Verdana"/>
                <w:sz w:val="15"/>
                <w:szCs w:val="15"/>
              </w:rPr>
              <w:t xml:space="preserve">This email was sent to: </w:t>
            </w:r>
            <w:hyperlink r:id="rId6" w:tgtFrame="_blank" w:history="1">
              <w:r>
                <w:rPr>
                  <w:rStyle w:val="Hyperlink"/>
                  <w:rFonts w:ascii="Verdana" w:hAnsi="Verdana"/>
                  <w:sz w:val="15"/>
                  <w:szCs w:val="15"/>
                </w:rPr>
                <w:t>Christopher.Salamon@protective.com</w:t>
              </w:r>
            </w:hyperlink>
          </w:p>
          <w:p w:rsidR="00B0371C" w:rsidRDefault="00B0371C">
            <w:pPr>
              <w:spacing w:after="225" w:line="210" w:lineRule="exact"/>
              <w:rPr>
                <w:rFonts w:ascii="Verdana" w:hAnsi="Verdana"/>
                <w:sz w:val="15"/>
                <w:szCs w:val="15"/>
              </w:rPr>
            </w:pPr>
            <w:r>
              <w:rPr>
                <w:rFonts w:ascii="Verdana" w:hAnsi="Verdana"/>
                <w:sz w:val="15"/>
                <w:szCs w:val="15"/>
              </w:rPr>
              <w:t>This email is a transactional message sent from Protective Life Insurance Company, 2801 Highway 280 South, Birmingham, AL, 35223, USA</w:t>
            </w:r>
          </w:p>
          <w:p w:rsidR="00B0371C" w:rsidRDefault="00B0371C">
            <w:pPr>
              <w:spacing w:after="225" w:line="210" w:lineRule="exact"/>
              <w:rPr>
                <w:rFonts w:ascii="Verdana" w:hAnsi="Verdana"/>
                <w:sz w:val="15"/>
                <w:szCs w:val="15"/>
              </w:rPr>
            </w:pPr>
            <w:r>
              <w:rPr>
                <w:rFonts w:ascii="Verdana" w:hAnsi="Verdana"/>
                <w:sz w:val="15"/>
                <w:szCs w:val="15"/>
              </w:rPr>
              <w:t xml:space="preserve">To ensure delivery of important communications from Protective Life, please add </w:t>
            </w:r>
            <w:hyperlink r:id="rId7" w:tgtFrame="_blank" w:history="1">
              <w:r>
                <w:rPr>
                  <w:rStyle w:val="Hyperlink"/>
                  <w:rFonts w:ascii="Verdana" w:hAnsi="Verdana"/>
                  <w:sz w:val="15"/>
                  <w:szCs w:val="15"/>
                </w:rPr>
                <w:t>protective.marketing@protective.com</w:t>
              </w:r>
            </w:hyperlink>
            <w:r>
              <w:rPr>
                <w:rFonts w:ascii="Verdana" w:hAnsi="Verdana"/>
                <w:sz w:val="15"/>
                <w:szCs w:val="15"/>
              </w:rPr>
              <w:t xml:space="preserve"> to your address book.</w:t>
            </w:r>
          </w:p>
          <w:p w:rsidR="00B0371C" w:rsidRDefault="00143AE6">
            <w:pPr>
              <w:spacing w:line="210" w:lineRule="exact"/>
              <w:rPr>
                <w:rFonts w:ascii="Verdana" w:hAnsi="Verdana"/>
                <w:sz w:val="15"/>
                <w:szCs w:val="15"/>
              </w:rPr>
            </w:pPr>
            <w:hyperlink r:id="rId8" w:tgtFrame="_blank" w:history="1">
              <w:r w:rsidR="00B0371C">
                <w:rPr>
                  <w:rStyle w:val="Hyperlink"/>
                  <w:rFonts w:ascii="Verdana" w:hAnsi="Verdana"/>
                  <w:sz w:val="15"/>
                  <w:szCs w:val="15"/>
                </w:rPr>
                <w:t>Privacy Policy</w:t>
              </w:r>
            </w:hyperlink>
            <w:r w:rsidR="00B0371C">
              <w:rPr>
                <w:rFonts w:ascii="Verdana" w:hAnsi="Verdana"/>
                <w:sz w:val="15"/>
                <w:szCs w:val="15"/>
              </w:rPr>
              <w:t>  |  </w:t>
            </w:r>
            <w:hyperlink r:id="rId9" w:history="1">
              <w:r w:rsidR="00B0371C">
                <w:rPr>
                  <w:rStyle w:val="Hyperlink"/>
                  <w:rFonts w:ascii="Verdana" w:hAnsi="Verdana"/>
                  <w:sz w:val="15"/>
                  <w:szCs w:val="15"/>
                </w:rPr>
                <w:t>View Online</w:t>
              </w:r>
            </w:hyperlink>
          </w:p>
        </w:tc>
      </w:tr>
    </w:tbl>
    <w:p w:rsidR="00B0371C" w:rsidRDefault="00B0371C"/>
    <w:sectPr w:rsidR="00B03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A31"/>
    <w:multiLevelType w:val="multilevel"/>
    <w:tmpl w:val="C8282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D80A36"/>
    <w:multiLevelType w:val="multilevel"/>
    <w:tmpl w:val="C0D42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1C"/>
    <w:rsid w:val="00061270"/>
    <w:rsid w:val="00143AE6"/>
    <w:rsid w:val="00B0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A11ED-757F-45E5-979A-F1591040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71C"/>
    <w:pPr>
      <w:spacing w:after="0" w:line="240" w:lineRule="auto"/>
    </w:pPr>
    <w:rPr>
      <w:rFonts w:ascii="Calibri" w:hAnsi="Calibri" w:cs="Calibri"/>
      <w:color w:val="333333"/>
    </w:rPr>
  </w:style>
  <w:style w:type="paragraph" w:styleId="Heading1">
    <w:name w:val="heading 1"/>
    <w:basedOn w:val="Normal"/>
    <w:link w:val="Heading1Char"/>
    <w:uiPriority w:val="9"/>
    <w:qFormat/>
    <w:rsid w:val="00B0371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71C"/>
    <w:rPr>
      <w:rFonts w:ascii="Calibri" w:hAnsi="Calibri" w:cs="Calibri"/>
      <w:b/>
      <w:bCs/>
      <w:color w:val="333333"/>
      <w:kern w:val="36"/>
      <w:sz w:val="48"/>
      <w:szCs w:val="48"/>
    </w:rPr>
  </w:style>
  <w:style w:type="character" w:styleId="Hyperlink">
    <w:name w:val="Hyperlink"/>
    <w:basedOn w:val="DefaultParagraphFont"/>
    <w:uiPriority w:val="99"/>
    <w:semiHidden/>
    <w:unhideWhenUsed/>
    <w:rsid w:val="00B0371C"/>
    <w:rPr>
      <w:strike w:val="0"/>
      <w:dstrike w:val="0"/>
      <w:color w:val="00A9E0"/>
      <w:u w:val="none"/>
      <w:effect w:val="none"/>
    </w:rPr>
  </w:style>
  <w:style w:type="paragraph" w:styleId="NormalWeb">
    <w:name w:val="Normal (Web)"/>
    <w:basedOn w:val="Normal"/>
    <w:uiPriority w:val="99"/>
    <w:semiHidden/>
    <w:unhideWhenUsed/>
    <w:rsid w:val="00B0371C"/>
    <w:pPr>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click.protective-2Demail.com_-3Fqs-3D1c337740553171c1b7236df9b1342ac8206508e129ed92e3688947cecc1519d5a93c5033c77bd59453feb3800337d3ee&amp;d=DwMDaQ&amp;c=4rszk0tbDAaZY6O0d-Pfs1TuN1jGE2SbgEMq3RG9IgA&amp;r=9Amsy5cB5qdunEAaYwD_ZXlDxvxUC2fRLHJYsBuGIU5IVYmmXpNk6xLXOcyMaPF1&amp;m=21zCW2k90sXSh7hEoJIQLjDQaqBO4K5sn9Q0Fe_bbn8&amp;s=oX9JOEr2fL4uPNkZhc6wrD2qo040N0e1JkYnTeSSsow&amp;e=" TargetMode="External"/><Relationship Id="rId3" Type="http://schemas.openxmlformats.org/officeDocument/2006/relationships/settings" Target="settings.xml"/><Relationship Id="rId7" Type="http://schemas.openxmlformats.org/officeDocument/2006/relationships/hyperlink" Target="mailto:protective.marketing@protec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Salamon@protectiv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proofpoint.com/v2/url?u=http-3A__view.protective-2Demail.com_-3Fqs-3Da46c20168ec6e188d1d5409afc12d98f32ec9efcabb5c0bee4a3423cc2098ac3a4d0ef7cf2c62c8f093de1906d46eec1&amp;d=DwMDaQ&amp;c=4rszk0tbDAaZY6O0d-Pfs1TuN1jGE2SbgEMq3RG9IgA&amp;r=9Amsy5cB5qdunEAaYwD_ZXlDxvxUC2fRLHJYsBuGIU5IVYmmXpNk6xLXOcyMaPF1&amp;m=21zCW2k90sXSh7hEoJIQLjDQaqBO4K5sn9Q0Fe_bbn8&amp;s=Xffv-SD_yz7bJUp87lFgc16-58dYlcerc9qH98LFNBE&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Mitchell</dc:creator>
  <cp:keywords/>
  <dc:description/>
  <cp:lastModifiedBy>Melissa Auriemma</cp:lastModifiedBy>
  <cp:revision>2</cp:revision>
  <dcterms:created xsi:type="dcterms:W3CDTF">2020-04-15T20:22:00Z</dcterms:created>
  <dcterms:modified xsi:type="dcterms:W3CDTF">2020-04-15T20:22:00Z</dcterms:modified>
</cp:coreProperties>
</file>